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E4" w:rsidRDefault="009D0F8F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w:pict>
          <v:group id="_x0000_s1026" style="position:absolute;left:0;text-align:left;margin-left:-68.4pt;margin-top:-62.8pt;width:568.95pt;height:99pt;z-index:251657728" coordorigin="-216,54" coordsize="10416,19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407;top:954;width:3927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" filled="f" stroked="f">
              <v:textbox style="mso-next-textbox:#Text Box 3">
                <w:txbxContent>
                  <w:p w:rsidR="002634E4" w:rsidRPr="00167BA6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София 1618, бул. “Цар Борис III” 136</w:t>
                    </w:r>
                  </w:p>
                  <w:p w:rsidR="002634E4" w:rsidRPr="001766A4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тел.: 02/81-87-272, 02/81-87-222</w:t>
                    </w:r>
                  </w:p>
                  <w:p w:rsidR="002634E4" w:rsidRPr="00167BA6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 xml:space="preserve">факс: 02/81-87-267, </w:t>
                    </w:r>
                    <w:hyperlink r:id="rId8" w:history="1"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@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bg</w:t>
                      </w:r>
                    </w:hyperlink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 xml:space="preserve">, 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www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14;top:810;width:1686;height:1044">
              <v:imagedata r:id="rId9" o:title=""/>
            </v:shape>
            <v:shape id="Picture 21" o:spid="_x0000_s1029" type="#_x0000_t75" style="position:absolute;left:-216;top:54;width:4230;height:1980;visibility:visible">
              <v:imagedata r:id="rId10" o:title=""/>
            </v:shape>
          </v:group>
        </w:pic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050D6" w:rsidRDefault="003050D6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BC7763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6A1E6D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Ново строителство</w:t>
            </w:r>
            <w:r>
              <w:rPr>
                <w:sz w:val="24"/>
                <w:szCs w:val="24"/>
              </w:rPr>
              <w:t xml:space="preserve">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Довърши телни работи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/лв/м2;лв м3; лв/м'</w:t>
            </w:r>
          </w:p>
          <w:p w:rsidR="00492124" w:rsidRPr="00DA07A2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% от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C02509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 xml:space="preserve">% от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15148E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Основни</w:t>
            </w:r>
            <w:r w:rsidRPr="00BC7763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BC7763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</w:t>
            </w:r>
            <w:r w:rsidRPr="00BC7763">
              <w:rPr>
                <w:rFonts w:eastAsia="Times New Roman"/>
                <w:sz w:val="24"/>
                <w:szCs w:val="24"/>
              </w:rPr>
              <w:t>града, вкл</w:t>
            </w:r>
            <w:r w:rsidRPr="00BC7763">
              <w:rPr>
                <w:sz w:val="24"/>
                <w:szCs w:val="24"/>
              </w:rPr>
              <w:t>ючваща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BC7763">
              <w:rPr>
                <w:sz w:val="24"/>
                <w:szCs w:val="24"/>
              </w:rPr>
              <w:t xml:space="preserve">само административно - битови </w:t>
            </w:r>
            <w:r w:rsidRPr="00BC7763">
              <w:rPr>
                <w:rFonts w:eastAsia="Times New Roman"/>
                <w:sz w:val="24"/>
                <w:szCs w:val="24"/>
              </w:rPr>
              <w:t>помещения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 xml:space="preserve">Всеки тип сграда, свързана с изпълнението на обекта и непопадаща в определенията за СМР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Pr="00AD20B8">
              <w:rPr>
                <w:sz w:val="24"/>
                <w:szCs w:val="24"/>
                <w:lang w:val="ru-RU"/>
              </w:rPr>
              <w:t>точка 1, 3 и 4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 xml:space="preserve">Вертикална </w:t>
            </w:r>
            <w:r w:rsidRPr="003A594F">
              <w:rPr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0" w:type="dxa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</w:rPr>
            </w:pPr>
            <w:r w:rsidRPr="00CB4380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 xml:space="preserve"> - </w:t>
            </w:r>
            <w:r w:rsidRPr="00CB4380">
              <w:rPr>
                <w:rFonts w:eastAsia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са предвидени 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инженерни мрежи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b/>
                <w:sz w:val="24"/>
                <w:szCs w:val="24"/>
              </w:rPr>
              <w:t>Забележка:</w:t>
            </w:r>
            <w:r w:rsidRPr="00CB4380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</w:rPr>
              <w:t>– озеленяване;</w:t>
            </w:r>
            <w:r w:rsidRPr="00CB4380">
              <w:rPr>
                <w:sz w:val="24"/>
                <w:szCs w:val="24"/>
              </w:rPr>
              <w:br/>
              <w:t>– подпорни стени;</w:t>
            </w:r>
            <w:r w:rsidRPr="00CB4380">
              <w:rPr>
                <w:sz w:val="24"/>
                <w:szCs w:val="24"/>
              </w:rPr>
              <w:br/>
              <w:t>– подземни и надземни резервоари;</w:t>
            </w:r>
            <w:r w:rsidRPr="00CB4380">
              <w:rPr>
                <w:sz w:val="24"/>
                <w:szCs w:val="24"/>
              </w:rPr>
              <w:br/>
              <w:t>– ПСОВ;</w:t>
            </w:r>
            <w:r w:rsidRPr="00CB4380">
              <w:rPr>
                <w:sz w:val="24"/>
                <w:szCs w:val="24"/>
              </w:rPr>
              <w:br/>
              <w:t>– авторазтоварища;</w:t>
            </w:r>
            <w:r w:rsidRPr="00CB4380">
              <w:rPr>
                <w:sz w:val="24"/>
                <w:szCs w:val="24"/>
              </w:rPr>
              <w:br/>
              <w:t>– автомобилни везни;</w:t>
            </w:r>
            <w:r w:rsidRPr="00CB4380">
              <w:rPr>
                <w:sz w:val="24"/>
                <w:szCs w:val="24"/>
              </w:rPr>
              <w:br/>
              <w:t>– дезинфекционни площадки;</w:t>
            </w:r>
            <w:r w:rsidRPr="00CB4380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CB4380">
              <w:rPr>
                <w:sz w:val="24"/>
                <w:szCs w:val="24"/>
                <w:lang w:val="ru-RU"/>
              </w:rPr>
              <w:t>7</w:t>
            </w:r>
            <w:r w:rsidRPr="00CB4380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436747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0E5798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t xml:space="preserve"> -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включват площите, </w:t>
            </w:r>
            <w:r w:rsidRPr="00CD080C">
              <w:rPr>
                <w:sz w:val="24"/>
                <w:szCs w:val="24"/>
              </w:rPr>
              <w:t xml:space="preserve">определени за дейности описани в </w:t>
            </w:r>
            <w:r w:rsidRPr="00CD080C">
              <w:rPr>
                <w:b/>
                <w:sz w:val="24"/>
                <w:szCs w:val="24"/>
              </w:rPr>
              <w:lastRenderedPageBreak/>
              <w:t>„Забележка”</w:t>
            </w:r>
            <w:r w:rsidRPr="00CD080C">
              <w:rPr>
                <w:sz w:val="24"/>
                <w:szCs w:val="24"/>
              </w:rPr>
              <w:t xml:space="preserve"> към СМР </w:t>
            </w:r>
            <w:r>
              <w:rPr>
                <w:sz w:val="24"/>
                <w:szCs w:val="24"/>
              </w:rPr>
              <w:t>5</w:t>
            </w:r>
            <w:r w:rsidRPr="00CD080C">
              <w:rPr>
                <w:sz w:val="24"/>
                <w:szCs w:val="24"/>
              </w:rPr>
              <w:t>.1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1754AB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896E12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Ограда, състояща се от:</w:t>
            </w:r>
            <w:r w:rsidRPr="00BC7763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BC7763">
              <w:rPr>
                <w:sz w:val="24"/>
                <w:szCs w:val="24"/>
              </w:rPr>
              <w:br/>
              <w:t>и/или</w:t>
            </w:r>
            <w:r w:rsidRPr="00BC7763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BC7763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BC7763">
              <w:rPr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>
              <w:rPr>
                <w:sz w:val="24"/>
                <w:szCs w:val="24"/>
              </w:rPr>
              <w:t>6.3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rFonts w:eastAsia="Times New Roman"/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</w:rPr>
              <w:t>Включва доставка, монтаж и изпълнение на:</w:t>
            </w:r>
            <w:r w:rsidRPr="00F1478E">
              <w:rPr>
                <w:sz w:val="24"/>
                <w:szCs w:val="24"/>
              </w:rPr>
              <w:br/>
              <w:t>– силози с плоско дъно</w:t>
            </w:r>
            <w:r>
              <w:rPr>
                <w:sz w:val="24"/>
                <w:szCs w:val="24"/>
              </w:rPr>
              <w:t xml:space="preserve"> и </w:t>
            </w:r>
            <w:r w:rsidRPr="00F1478E">
              <w:rPr>
                <w:sz w:val="24"/>
                <w:szCs w:val="24"/>
              </w:rPr>
              <w:t>силози на крака с конусно дъно</w:t>
            </w:r>
            <w:r>
              <w:rPr>
                <w:sz w:val="24"/>
                <w:szCs w:val="24"/>
              </w:rPr>
              <w:t>,</w:t>
            </w:r>
            <w:r w:rsidRPr="00F1478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всички необходими аксесоари и елементи към тях</w:t>
            </w:r>
            <w:r w:rsidRPr="00F1478E">
              <w:rPr>
                <w:sz w:val="24"/>
                <w:szCs w:val="24"/>
              </w:rPr>
              <w:t>, заедно с бетоновия фунд</w:t>
            </w:r>
            <w:r>
              <w:rPr>
                <w:sz w:val="24"/>
                <w:szCs w:val="24"/>
              </w:rPr>
              <w:t>амент, върху който са изградени</w:t>
            </w:r>
            <w:r w:rsidRPr="00F1478E">
              <w:rPr>
                <w:sz w:val="24"/>
                <w:szCs w:val="24"/>
              </w:rPr>
              <w:t>;</w:t>
            </w:r>
            <w:r w:rsidRPr="00F1478E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F1478E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F1478E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97448C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lastRenderedPageBreak/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 xml:space="preserve">2.2.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>; лв/</w:t>
      </w:r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r w:rsidR="00A62D5B">
        <w:rPr>
          <w:rFonts w:ascii="Times New Roman" w:hAnsi="Times New Roman"/>
          <w:b/>
          <w:sz w:val="24"/>
          <w:szCs w:val="24"/>
        </w:rPr>
        <w:t xml:space="preserve"> и лв/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1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F8F" w:rsidRDefault="009D0F8F" w:rsidP="009E2D7F">
      <w:pPr>
        <w:spacing w:after="0" w:line="240" w:lineRule="auto"/>
      </w:pPr>
      <w:r>
        <w:separator/>
      </w:r>
    </w:p>
  </w:endnote>
  <w:endnote w:type="continuationSeparator" w:id="0">
    <w:p w:rsidR="009D0F8F" w:rsidRDefault="009D0F8F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F21E14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F8F" w:rsidRDefault="009D0F8F" w:rsidP="009E2D7F">
      <w:pPr>
        <w:spacing w:after="0" w:line="240" w:lineRule="auto"/>
      </w:pPr>
      <w:r>
        <w:separator/>
      </w:r>
    </w:p>
  </w:footnote>
  <w:footnote w:type="continuationSeparator" w:id="0">
    <w:p w:rsidR="009D0F8F" w:rsidRDefault="009D0F8F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2501E"/>
    <w:rsid w:val="001C443F"/>
    <w:rsid w:val="002149ED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B504F"/>
    <w:rsid w:val="002D4FAC"/>
    <w:rsid w:val="003050D6"/>
    <w:rsid w:val="00351D49"/>
    <w:rsid w:val="0035348E"/>
    <w:rsid w:val="0036301A"/>
    <w:rsid w:val="003B6CE8"/>
    <w:rsid w:val="003D1D2A"/>
    <w:rsid w:val="003E39D5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3734B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493A"/>
    <w:rsid w:val="00824D17"/>
    <w:rsid w:val="0082582A"/>
    <w:rsid w:val="008451E0"/>
    <w:rsid w:val="00851FE7"/>
    <w:rsid w:val="0086611B"/>
    <w:rsid w:val="00874F17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D0F8F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157A4"/>
    <w:rsid w:val="00D52250"/>
    <w:rsid w:val="00D96550"/>
    <w:rsid w:val="00DB0256"/>
    <w:rsid w:val="00DC666F"/>
    <w:rsid w:val="00E0324A"/>
    <w:rsid w:val="00E12736"/>
    <w:rsid w:val="00E36E48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1E14"/>
    <w:rsid w:val="00F25B52"/>
    <w:rsid w:val="00F3447B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391E1-1AAC-45AC-A82F-9F9A1AD0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z@dfz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AC291-CAE5-414A-AEA6-7A6FC26D4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Fujitsu</cp:lastModifiedBy>
  <cp:revision>9</cp:revision>
  <cp:lastPrinted>2015-11-04T14:52:00Z</cp:lastPrinted>
  <dcterms:created xsi:type="dcterms:W3CDTF">2018-01-26T11:00:00Z</dcterms:created>
  <dcterms:modified xsi:type="dcterms:W3CDTF">2019-01-28T12:31:00Z</dcterms:modified>
</cp:coreProperties>
</file>